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6283EE59">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4392A35E">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57105"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7E7379F0"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[Your Organization's Name]</w:t>
      </w:r>
    </w:p>
    <w:p w14:paraId="2F19FA7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[Investment Policy]</w:t>
      </w:r>
    </w:p>
    <w:p w14:paraId="12AAF1C4" w14:textId="77777777" w:rsidR="00B13268" w:rsidRPr="00B13268" w:rsidRDefault="00B13268" w:rsidP="00B13268">
      <w:pPr>
        <w:rPr>
          <w:rFonts w:ascii="Calibri" w:eastAsia="Times New Roman" w:hAnsi="Calibri" w:cs="Calibri"/>
        </w:rPr>
      </w:pPr>
    </w:p>
    <w:p w14:paraId="631A4990"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At [Your Organization's Name], we recognize the importance of responsible investment practices to optimize returns and preserve the long-term value of our reserves or endowment funds. This policy outlines the guidelines for investing funds, including the decision-making process, acceptable levels of risk, and considerations for selecting investment options. By adhering to this policy, we aim to prudently manage our investments, align with our mission and values, and fulfill our fiduciary duties.</w:t>
      </w:r>
    </w:p>
    <w:p w14:paraId="028501EB" w14:textId="77777777" w:rsidR="00B13268" w:rsidRPr="00B13268" w:rsidRDefault="00B13268" w:rsidP="00B13268">
      <w:pPr>
        <w:rPr>
          <w:rFonts w:ascii="Calibri" w:eastAsia="Times New Roman" w:hAnsi="Calibri" w:cs="Calibri"/>
        </w:rPr>
      </w:pPr>
    </w:p>
    <w:p w14:paraId="43A7375D"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Purpose:</w:t>
      </w:r>
    </w:p>
    <w:p w14:paraId="0103BDF6"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1.1. The purpose of this Investment Policy is to provide guidance on the management and investment of our reserves or endowment funds.</w:t>
      </w:r>
    </w:p>
    <w:p w14:paraId="079B4250"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1.2. This policy aims to optimize investment returns, preserve capital, and align investments with our organization's mission, values, and long-term financial goals.</w:t>
      </w:r>
    </w:p>
    <w:p w14:paraId="6A4BB687" w14:textId="77777777" w:rsidR="00B13268" w:rsidRPr="00B13268" w:rsidRDefault="00B13268" w:rsidP="00B13268">
      <w:pPr>
        <w:rPr>
          <w:rFonts w:ascii="Calibri" w:eastAsia="Times New Roman" w:hAnsi="Calibri" w:cs="Calibri"/>
        </w:rPr>
      </w:pPr>
    </w:p>
    <w:p w14:paraId="75A6389C"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Investment Objectives:</w:t>
      </w:r>
    </w:p>
    <w:p w14:paraId="04D6BFD9"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2.1. The primary objectives of our investment strategy are:</w:t>
      </w:r>
    </w:p>
    <w:p w14:paraId="3D8A8F05"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a. Preservation of Capital: Ensure the safety and preservation of the funds invested.</w:t>
      </w:r>
    </w:p>
    <w:p w14:paraId="079D8C96"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b. Liquidity: Maintain a level of liquidity to meet our short-term cash flow needs.</w:t>
      </w:r>
    </w:p>
    <w:p w14:paraId="4226FAD5"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c. Return on Investment: Seek reasonable and appropriate returns that support our financial sustainability and mission-related activities.</w:t>
      </w:r>
    </w:p>
    <w:p w14:paraId="6C719AE3"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d. Risk Management: Manage investment risks in a prudent and diversified manner.</w:t>
      </w:r>
    </w:p>
    <w:p w14:paraId="5D4FEAAD" w14:textId="77777777" w:rsidR="00B13268" w:rsidRPr="00B13268" w:rsidRDefault="00B13268" w:rsidP="00B13268">
      <w:pPr>
        <w:rPr>
          <w:rFonts w:ascii="Calibri" w:eastAsia="Times New Roman" w:hAnsi="Calibri" w:cs="Calibri"/>
        </w:rPr>
      </w:pPr>
    </w:p>
    <w:p w14:paraId="5DEAE48F"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Investment Decision-Making:</w:t>
      </w:r>
    </w:p>
    <w:p w14:paraId="174F2981"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3.1. The authority and responsibility for investment decision-making will be assigned to the appropriate governing body or an investment committee designated by the board of directors.</w:t>
      </w:r>
    </w:p>
    <w:p w14:paraId="52F7EE63"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3.2. The investment decision-makers will possess the necessary expertise, qualifications, and experience to fulfill their roles effectively.</w:t>
      </w:r>
    </w:p>
    <w:p w14:paraId="0C813278"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3.3. Investment decision-making should be consistent with the organization's mission, risk tolerance, financial objectives, and legal and regulatory requirements.</w:t>
      </w:r>
    </w:p>
    <w:p w14:paraId="5379EBA7" w14:textId="77777777" w:rsidR="00B13268" w:rsidRPr="00B13268" w:rsidRDefault="00B13268" w:rsidP="00B13268">
      <w:pPr>
        <w:rPr>
          <w:rFonts w:ascii="Calibri" w:eastAsia="Times New Roman" w:hAnsi="Calibri" w:cs="Calibri"/>
        </w:rPr>
      </w:pPr>
    </w:p>
    <w:p w14:paraId="07523924"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lastRenderedPageBreak/>
        <w:t>Acceptable Level of Risk:</w:t>
      </w:r>
    </w:p>
    <w:p w14:paraId="7866DAE3"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4.1. The organization's risk tolerance will be assessed and determined by the governing body or investment committee.</w:t>
      </w:r>
    </w:p>
    <w:p w14:paraId="1CE83B3E"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4.2. Risk tolerance will consider factors such as the organization's financial situation, time horizon, spending needs, and the ability to withstand market fluctuations.</w:t>
      </w:r>
    </w:p>
    <w:p w14:paraId="143567E8"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4.3. The investment strategy should reflect an appropriate balance between potential returns and acceptable levels of risk, in line with the organization's risk tolerance.</w:t>
      </w:r>
    </w:p>
    <w:p w14:paraId="5FDFF377" w14:textId="77777777" w:rsidR="00B13268" w:rsidRPr="00B13268" w:rsidRDefault="00B13268" w:rsidP="00B13268">
      <w:pPr>
        <w:rPr>
          <w:rFonts w:ascii="Calibri" w:eastAsia="Times New Roman" w:hAnsi="Calibri" w:cs="Calibri"/>
        </w:rPr>
      </w:pPr>
    </w:p>
    <w:p w14:paraId="2D8C014F"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Diversification and Asset Allocation:</w:t>
      </w:r>
    </w:p>
    <w:p w14:paraId="6F1B0ECF"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5.1. The investment portfolio will be structured to achieve appropriate diversification to manage risk and optimize returns.</w:t>
      </w:r>
    </w:p>
    <w:p w14:paraId="7C14169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5.2. Asset allocation decisions will be based on considerations such as the organization's risk profile, financial objectives, time horizon, and market conditions.</w:t>
      </w:r>
    </w:p>
    <w:p w14:paraId="29B41871"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5.3. The investment portfolio may include a mix of asset classes, such as equities, fixed income securities, cash equivalents, real estate, or alternative investments, based on the investment strategy and risk appetite.</w:t>
      </w:r>
    </w:p>
    <w:p w14:paraId="7D1A82AF" w14:textId="77777777" w:rsidR="00B13268" w:rsidRPr="00B13268" w:rsidRDefault="00B13268" w:rsidP="00B13268">
      <w:pPr>
        <w:rPr>
          <w:rFonts w:ascii="Calibri" w:eastAsia="Times New Roman" w:hAnsi="Calibri" w:cs="Calibri"/>
        </w:rPr>
      </w:pPr>
    </w:p>
    <w:p w14:paraId="7D147965"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Due Diligence and Investment Selection:</w:t>
      </w:r>
    </w:p>
    <w:p w14:paraId="1582016B"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6.1. Investment options will be selected through a rigorous due diligence process that considers factors such as investment performance, fees, risk profile, alignment with the organization's mission, and legal and ethical considerations.</w:t>
      </w:r>
    </w:p>
    <w:p w14:paraId="377D24BD"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6.2. External investment managers or advisors may be engaged based on their expertise and ability to meet the organization's investment objectives.</w:t>
      </w:r>
    </w:p>
    <w:p w14:paraId="56F72958"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6.3. Periodic reviews and assessments will be conducted to evaluate the performance and ongoing suitability of investment options and managers.</w:t>
      </w:r>
    </w:p>
    <w:p w14:paraId="62FA0822" w14:textId="77777777" w:rsidR="00B13268" w:rsidRPr="00B13268" w:rsidRDefault="00B13268" w:rsidP="00B13268">
      <w:pPr>
        <w:rPr>
          <w:rFonts w:ascii="Calibri" w:eastAsia="Times New Roman" w:hAnsi="Calibri" w:cs="Calibri"/>
        </w:rPr>
      </w:pPr>
    </w:p>
    <w:p w14:paraId="2D16E129"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Socially Responsible Investing:</w:t>
      </w:r>
    </w:p>
    <w:p w14:paraId="61C8AF72"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7.1. The organization may incorporate socially responsible investing (SRI) principles, considering environmental, social, and governance (ESG) factors when making investment decisions, in alignment with our mission and values.</w:t>
      </w:r>
    </w:p>
    <w:p w14:paraId="6AFF822D"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7.2. The organization may seek investment options that align with specific SRI or ESG criteria, as defined by the governing body or investment committee.</w:t>
      </w:r>
    </w:p>
    <w:p w14:paraId="6731E96A" w14:textId="77777777" w:rsidR="00B13268" w:rsidRPr="00B13268" w:rsidRDefault="00B13268" w:rsidP="00B13268">
      <w:pPr>
        <w:rPr>
          <w:rFonts w:ascii="Calibri" w:eastAsia="Times New Roman" w:hAnsi="Calibri" w:cs="Calibri"/>
          <w:b/>
          <w:bCs/>
        </w:rPr>
      </w:pPr>
    </w:p>
    <w:p w14:paraId="00D46519"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Investment Monitoring and Reporting:</w:t>
      </w:r>
    </w:p>
    <w:p w14:paraId="6F371E89"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lastRenderedPageBreak/>
        <w:t>8.1. The investment portfolio will be regularly monitored to assess performance, risk, and compliance with the Investment Policy.</w:t>
      </w:r>
    </w:p>
    <w:p w14:paraId="309B5F4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8.2. Investment performance reports will be provided to the governing body or investment committee, providing information on investment returns, asset allocation, risk metrics, and any other relevant data.</w:t>
      </w:r>
    </w:p>
    <w:p w14:paraId="53A36017"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8.3. The investment monitoring process will include periodic reviews, evaluation of investment managers, and adjustment of the investment strategy as needed.</w:t>
      </w:r>
    </w:p>
    <w:p w14:paraId="3DAA33C3" w14:textId="77777777" w:rsidR="00B13268" w:rsidRPr="00B13268" w:rsidRDefault="00B13268" w:rsidP="00B13268">
      <w:pPr>
        <w:rPr>
          <w:rFonts w:ascii="Calibri" w:eastAsia="Times New Roman" w:hAnsi="Calibri" w:cs="Calibri"/>
        </w:rPr>
      </w:pPr>
    </w:p>
    <w:p w14:paraId="45909EC6"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Policy Review and Updates:</w:t>
      </w:r>
    </w:p>
    <w:p w14:paraId="5827F116"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9.1. This Investment Policy will be reviewed periodically to ensure it remains aligned with the organization's financial needs, best practices, and changing market conditions.</w:t>
      </w:r>
    </w:p>
    <w:p w14:paraId="0F58CD0F"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9.2. Any updates or changes to the policy will be communicated to relevant staff members, the finance committee, and the board of directors, and training will be provided as necessary.</w:t>
      </w:r>
    </w:p>
    <w:p w14:paraId="5CBF79C9" w14:textId="77777777" w:rsidR="00B13268" w:rsidRPr="00B13268" w:rsidRDefault="00B13268" w:rsidP="00B13268">
      <w:pPr>
        <w:rPr>
          <w:rFonts w:ascii="Calibri" w:eastAsia="Times New Roman" w:hAnsi="Calibri" w:cs="Calibri"/>
        </w:rPr>
      </w:pPr>
    </w:p>
    <w:p w14:paraId="5283C8B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By following this Investment Policy, we establish guidelines for the responsible management and investment of our reserves or endowment funds. Prudent investment practices ensure the preservation and growth of our financial assets, supporting our long-term financial sustainability and mission-related activities. If you have any questions or require further guidance regarding investments, please contact the designated authority within the organization.</w:t>
      </w:r>
    </w:p>
    <w:p w14:paraId="24B874BE" w14:textId="77777777" w:rsidR="00B13268" w:rsidRPr="00B13268" w:rsidRDefault="00B13268" w:rsidP="00B13268">
      <w:pPr>
        <w:rPr>
          <w:rFonts w:ascii="Calibri" w:eastAsia="Times New Roman" w:hAnsi="Calibri" w:cs="Calibri"/>
        </w:rPr>
      </w:pPr>
    </w:p>
    <w:p w14:paraId="2671508B" w14:textId="2134C3E0" w:rsidR="003D4CDE" w:rsidRPr="00B13268" w:rsidRDefault="003122CD" w:rsidP="003122CD">
      <w:pPr>
        <w:rPr>
          <w:rFonts w:ascii="Calibri" w:eastAsia="Times New Roman" w:hAnsi="Calibri" w:cs="Calibri"/>
          <w:i/>
          <w:iCs/>
        </w:rPr>
      </w:pPr>
      <w:r w:rsidRPr="003122CD">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B13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FCAFF" w14:textId="77777777" w:rsidR="00C632B7" w:rsidRDefault="00C632B7" w:rsidP="0032163F">
      <w:pPr>
        <w:spacing w:after="0" w:line="240" w:lineRule="auto"/>
      </w:pPr>
      <w:r>
        <w:separator/>
      </w:r>
    </w:p>
  </w:endnote>
  <w:endnote w:type="continuationSeparator" w:id="0">
    <w:p w14:paraId="46D4FF48" w14:textId="77777777" w:rsidR="00C632B7" w:rsidRDefault="00C632B7"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AB6C" w14:textId="77777777" w:rsidR="00C632B7" w:rsidRDefault="00C632B7" w:rsidP="0032163F">
      <w:pPr>
        <w:spacing w:after="0" w:line="240" w:lineRule="auto"/>
      </w:pPr>
      <w:r>
        <w:separator/>
      </w:r>
    </w:p>
  </w:footnote>
  <w:footnote w:type="continuationSeparator" w:id="0">
    <w:p w14:paraId="2143FECA" w14:textId="77777777" w:rsidR="00C632B7" w:rsidRDefault="00C632B7"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25CF3"/>
    <w:rsid w:val="000A7921"/>
    <w:rsid w:val="00111457"/>
    <w:rsid w:val="002569A1"/>
    <w:rsid w:val="003122CD"/>
    <w:rsid w:val="0032163F"/>
    <w:rsid w:val="0033256C"/>
    <w:rsid w:val="0038708B"/>
    <w:rsid w:val="00397F44"/>
    <w:rsid w:val="003D4CDE"/>
    <w:rsid w:val="00461A6E"/>
    <w:rsid w:val="0046742A"/>
    <w:rsid w:val="004E5896"/>
    <w:rsid w:val="004E6E93"/>
    <w:rsid w:val="00545FD7"/>
    <w:rsid w:val="005826FE"/>
    <w:rsid w:val="00600811"/>
    <w:rsid w:val="00774B75"/>
    <w:rsid w:val="00794AED"/>
    <w:rsid w:val="007A1059"/>
    <w:rsid w:val="007A4AF3"/>
    <w:rsid w:val="00851A65"/>
    <w:rsid w:val="008F4F5F"/>
    <w:rsid w:val="00970246"/>
    <w:rsid w:val="00997250"/>
    <w:rsid w:val="009E4D63"/>
    <w:rsid w:val="00A867A5"/>
    <w:rsid w:val="00A924D3"/>
    <w:rsid w:val="00AD01EA"/>
    <w:rsid w:val="00B13268"/>
    <w:rsid w:val="00C632B7"/>
    <w:rsid w:val="00CB1376"/>
    <w:rsid w:val="00D30DD9"/>
    <w:rsid w:val="00D839D1"/>
    <w:rsid w:val="00DA2A54"/>
    <w:rsid w:val="00DF284D"/>
    <w:rsid w:val="00DF5608"/>
    <w:rsid w:val="00E175DA"/>
    <w:rsid w:val="00E45D72"/>
    <w:rsid w:val="00F43AEE"/>
    <w:rsid w:val="00F95BDC"/>
    <w:rsid w:val="00F961A9"/>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 w:id="14389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2024-10-08T21:32:00Z</dcterms:created>
  <dcterms:modified xsi:type="dcterms:W3CDTF">2024-10-08T21:32:00Z</dcterms:modified>
</cp:coreProperties>
</file>